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907817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LAI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013530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07817">
        <w:rPr>
          <w:rFonts w:ascii="Arial" w:hAnsi="Arial" w:cs="Arial"/>
          <w:sz w:val="20"/>
          <w:szCs w:val="20"/>
        </w:rPr>
        <w:t>08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907817" w:rsidRPr="00907817">
        <w:rPr>
          <w:rFonts w:ascii="Arial" w:hAnsi="Arial" w:cs="Arial"/>
          <w:sz w:val="20"/>
          <w:szCs w:val="20"/>
        </w:rPr>
        <w:t xml:space="preserve">IDICO Long </w:t>
      </w:r>
      <w:proofErr w:type="gramStart"/>
      <w:r w:rsidR="00907817" w:rsidRPr="00907817">
        <w:rPr>
          <w:rFonts w:ascii="Arial" w:hAnsi="Arial" w:cs="Arial"/>
          <w:sz w:val="20"/>
          <w:szCs w:val="20"/>
        </w:rPr>
        <w:t>An</w:t>
      </w:r>
      <w:proofErr w:type="gramEnd"/>
      <w:r w:rsidR="00907817" w:rsidRPr="00907817">
        <w:rPr>
          <w:rFonts w:ascii="Arial" w:hAnsi="Arial" w:cs="Arial"/>
          <w:sz w:val="20"/>
          <w:szCs w:val="20"/>
        </w:rPr>
        <w:t xml:space="preserve"> Investment Construction JSC</w:t>
      </w:r>
      <w:r w:rsidR="00907817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013530">
        <w:rPr>
          <w:rFonts w:ascii="Arial" w:hAnsi="Arial" w:cs="Arial"/>
          <w:sz w:val="20"/>
          <w:szCs w:val="20"/>
        </w:rPr>
        <w:t xml:space="preserve">Board resolution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907817" w:rsidRDefault="0090781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The Board of Directors approved the followings:</w:t>
      </w:r>
    </w:p>
    <w:p w:rsidR="00907817" w:rsidRDefault="0090781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Approve the operation results of the first 6 months of 2020, operation plan for the third quarter as follows:</w:t>
      </w:r>
    </w:p>
    <w:p w:rsidR="00907817" w:rsidRDefault="0090781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 </w:t>
      </w:r>
      <w:r w:rsidR="006C6376">
        <w:rPr>
          <w:rFonts w:ascii="Arial" w:hAnsi="Arial" w:cs="Arial"/>
          <w:sz w:val="20"/>
          <w:szCs w:val="20"/>
        </w:rPr>
        <w:t>Operation results of the first 6 months of 2020</w:t>
      </w:r>
    </w:p>
    <w:p w:rsidR="006C6376" w:rsidRDefault="006C637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Unit: VND million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2715"/>
        <w:gridCol w:w="1591"/>
        <w:gridCol w:w="1591"/>
        <w:gridCol w:w="1592"/>
        <w:gridCol w:w="1591"/>
      </w:tblGrid>
      <w:tr w:rsidR="00A83171" w:rsidTr="00AB663D">
        <w:tc>
          <w:tcPr>
            <w:tcW w:w="496" w:type="dxa"/>
            <w:vMerge w:val="restart"/>
          </w:tcPr>
          <w:p w:rsidR="00A83171" w:rsidRDefault="00A8317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715" w:type="dxa"/>
            <w:vMerge w:val="restart"/>
          </w:tcPr>
          <w:p w:rsidR="00A83171" w:rsidRDefault="00A8317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591" w:type="dxa"/>
            <w:vMerge w:val="restart"/>
          </w:tcPr>
          <w:p w:rsidR="00A83171" w:rsidRDefault="00A8317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2020</w:t>
            </w:r>
          </w:p>
        </w:tc>
        <w:tc>
          <w:tcPr>
            <w:tcW w:w="1591" w:type="dxa"/>
            <w:vMerge w:val="restart"/>
          </w:tcPr>
          <w:p w:rsidR="00A83171" w:rsidRDefault="00A83171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6 months of 2020</w:t>
            </w:r>
          </w:p>
        </w:tc>
        <w:tc>
          <w:tcPr>
            <w:tcW w:w="3183" w:type="dxa"/>
            <w:gridSpan w:val="2"/>
          </w:tcPr>
          <w:p w:rsidR="00A83171" w:rsidRDefault="00A83171" w:rsidP="00A8317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%</w:t>
            </w:r>
          </w:p>
        </w:tc>
      </w:tr>
      <w:tr w:rsidR="00A83171" w:rsidTr="00AB663D">
        <w:tc>
          <w:tcPr>
            <w:tcW w:w="496" w:type="dxa"/>
            <w:vMerge/>
          </w:tcPr>
          <w:p w:rsidR="00A83171" w:rsidRDefault="00A83171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5" w:type="dxa"/>
            <w:vMerge/>
          </w:tcPr>
          <w:p w:rsidR="00A83171" w:rsidRDefault="00A83171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83171" w:rsidRDefault="00A83171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A83171" w:rsidRDefault="00A83171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</w:tcPr>
          <w:p w:rsidR="00A83171" w:rsidRDefault="00A83171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6 months of 2020 compared to 2020 plan</w:t>
            </w:r>
          </w:p>
        </w:tc>
        <w:tc>
          <w:tcPr>
            <w:tcW w:w="1591" w:type="dxa"/>
          </w:tcPr>
          <w:p w:rsidR="00A83171" w:rsidRDefault="00A83171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First 6 months of 2020 year on year </w:t>
            </w:r>
          </w:p>
        </w:tc>
      </w:tr>
      <w:tr w:rsidR="00A83171" w:rsidTr="00AB663D">
        <w:tc>
          <w:tcPr>
            <w:tcW w:w="496" w:type="dxa"/>
          </w:tcPr>
          <w:p w:rsidR="00A83171" w:rsidRDefault="00A83171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715" w:type="dxa"/>
          </w:tcPr>
          <w:p w:rsidR="00A83171" w:rsidRDefault="00A83171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production</w:t>
            </w:r>
          </w:p>
        </w:tc>
        <w:tc>
          <w:tcPr>
            <w:tcW w:w="1591" w:type="dxa"/>
          </w:tcPr>
          <w:p w:rsidR="00A83171" w:rsidRDefault="000709F6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354,100</w:t>
            </w:r>
          </w:p>
        </w:tc>
        <w:tc>
          <w:tcPr>
            <w:tcW w:w="1591" w:type="dxa"/>
          </w:tcPr>
          <w:p w:rsidR="00A83171" w:rsidRDefault="000709F6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125,944</w:t>
            </w:r>
          </w:p>
        </w:tc>
        <w:tc>
          <w:tcPr>
            <w:tcW w:w="1592" w:type="dxa"/>
          </w:tcPr>
          <w:p w:rsidR="00A83171" w:rsidRDefault="000709F6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35.57</w:t>
            </w:r>
          </w:p>
        </w:tc>
        <w:tc>
          <w:tcPr>
            <w:tcW w:w="1591" w:type="dxa"/>
          </w:tcPr>
          <w:p w:rsidR="00A83171" w:rsidRDefault="000709F6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100.90</w:t>
            </w:r>
          </w:p>
        </w:tc>
      </w:tr>
      <w:tr w:rsidR="00A83171" w:rsidTr="00AB663D">
        <w:tc>
          <w:tcPr>
            <w:tcW w:w="496" w:type="dxa"/>
          </w:tcPr>
          <w:p w:rsidR="00A83171" w:rsidRDefault="00A83171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A83171" w:rsidRDefault="00A83171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</w:t>
            </w:r>
          </w:p>
        </w:tc>
        <w:tc>
          <w:tcPr>
            <w:tcW w:w="1591" w:type="dxa"/>
          </w:tcPr>
          <w:p w:rsidR="00A83171" w:rsidRDefault="000709F6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120,000</w:t>
            </w:r>
          </w:p>
        </w:tc>
        <w:tc>
          <w:tcPr>
            <w:tcW w:w="1591" w:type="dxa"/>
          </w:tcPr>
          <w:p w:rsidR="00A83171" w:rsidRDefault="000709F6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81,900</w:t>
            </w:r>
          </w:p>
        </w:tc>
        <w:tc>
          <w:tcPr>
            <w:tcW w:w="1592" w:type="dxa"/>
          </w:tcPr>
          <w:p w:rsidR="00A83171" w:rsidRDefault="000709F6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68.25</w:t>
            </w:r>
          </w:p>
        </w:tc>
        <w:tc>
          <w:tcPr>
            <w:tcW w:w="1591" w:type="dxa"/>
          </w:tcPr>
          <w:p w:rsidR="00A83171" w:rsidRDefault="00CE4B21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157.50</w:t>
            </w:r>
          </w:p>
        </w:tc>
      </w:tr>
      <w:tr w:rsidR="00A83171" w:rsidTr="00AB663D">
        <w:tc>
          <w:tcPr>
            <w:tcW w:w="496" w:type="dxa"/>
          </w:tcPr>
          <w:p w:rsidR="00A83171" w:rsidRDefault="00A83171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15" w:type="dxa"/>
          </w:tcPr>
          <w:p w:rsidR="00A83171" w:rsidRDefault="000709F6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CN-VLXD</w:t>
            </w:r>
          </w:p>
        </w:tc>
        <w:tc>
          <w:tcPr>
            <w:tcW w:w="1591" w:type="dxa"/>
          </w:tcPr>
          <w:p w:rsidR="00A83171" w:rsidRDefault="000709F6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1591" w:type="dxa"/>
          </w:tcPr>
          <w:p w:rsidR="00A83171" w:rsidRDefault="000709F6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38,147</w:t>
            </w:r>
          </w:p>
        </w:tc>
        <w:tc>
          <w:tcPr>
            <w:tcW w:w="1592" w:type="dxa"/>
          </w:tcPr>
          <w:p w:rsidR="00A83171" w:rsidRDefault="00CE4B21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76.29</w:t>
            </w:r>
          </w:p>
        </w:tc>
        <w:tc>
          <w:tcPr>
            <w:tcW w:w="1591" w:type="dxa"/>
          </w:tcPr>
          <w:p w:rsidR="00A83171" w:rsidRDefault="00CE4B21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108.09</w:t>
            </w:r>
          </w:p>
        </w:tc>
      </w:tr>
      <w:tr w:rsidR="00A83171" w:rsidTr="00AB663D">
        <w:tc>
          <w:tcPr>
            <w:tcW w:w="496" w:type="dxa"/>
          </w:tcPr>
          <w:p w:rsidR="00A83171" w:rsidRDefault="00A83171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15" w:type="dxa"/>
          </w:tcPr>
          <w:p w:rsidR="00A83171" w:rsidRDefault="000709F6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Consultancy</w:t>
            </w:r>
          </w:p>
        </w:tc>
        <w:tc>
          <w:tcPr>
            <w:tcW w:w="1591" w:type="dxa"/>
          </w:tcPr>
          <w:p w:rsidR="00A83171" w:rsidRDefault="000709F6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2,050</w:t>
            </w:r>
          </w:p>
        </w:tc>
        <w:tc>
          <w:tcPr>
            <w:tcW w:w="1591" w:type="dxa"/>
          </w:tcPr>
          <w:p w:rsidR="00A83171" w:rsidRDefault="000709F6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1,104</w:t>
            </w:r>
          </w:p>
        </w:tc>
        <w:tc>
          <w:tcPr>
            <w:tcW w:w="1592" w:type="dxa"/>
          </w:tcPr>
          <w:p w:rsidR="00A83171" w:rsidRDefault="00CE4B21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53.85</w:t>
            </w:r>
          </w:p>
        </w:tc>
        <w:tc>
          <w:tcPr>
            <w:tcW w:w="1591" w:type="dxa"/>
          </w:tcPr>
          <w:p w:rsidR="00A83171" w:rsidRDefault="00CE4B21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104.15</w:t>
            </w:r>
          </w:p>
        </w:tc>
      </w:tr>
      <w:tr w:rsidR="00A83171" w:rsidTr="00AB663D">
        <w:tc>
          <w:tcPr>
            <w:tcW w:w="496" w:type="dxa"/>
          </w:tcPr>
          <w:p w:rsidR="00A83171" w:rsidRDefault="00A83171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15" w:type="dxa"/>
          </w:tcPr>
          <w:p w:rsidR="00A83171" w:rsidRDefault="000709F6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Housing and infrastructure</w:t>
            </w:r>
          </w:p>
        </w:tc>
        <w:tc>
          <w:tcPr>
            <w:tcW w:w="1591" w:type="dxa"/>
          </w:tcPr>
          <w:p w:rsidR="00A83171" w:rsidRDefault="000709F6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180,000</w:t>
            </w:r>
          </w:p>
        </w:tc>
        <w:tc>
          <w:tcPr>
            <w:tcW w:w="1591" w:type="dxa"/>
          </w:tcPr>
          <w:p w:rsidR="00A83171" w:rsidRDefault="000709F6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4,100</w:t>
            </w:r>
          </w:p>
        </w:tc>
        <w:tc>
          <w:tcPr>
            <w:tcW w:w="1592" w:type="dxa"/>
          </w:tcPr>
          <w:p w:rsidR="00A83171" w:rsidRDefault="00CE4B21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2.28</w:t>
            </w:r>
          </w:p>
        </w:tc>
        <w:tc>
          <w:tcPr>
            <w:tcW w:w="1591" w:type="dxa"/>
          </w:tcPr>
          <w:p w:rsidR="00A83171" w:rsidRDefault="00CE4B21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</w:tr>
      <w:tr w:rsidR="00A83171" w:rsidTr="00AB663D">
        <w:tc>
          <w:tcPr>
            <w:tcW w:w="496" w:type="dxa"/>
          </w:tcPr>
          <w:p w:rsidR="00A83171" w:rsidRDefault="00A83171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15" w:type="dxa"/>
          </w:tcPr>
          <w:p w:rsidR="00A83171" w:rsidRDefault="000709F6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income</w:t>
            </w:r>
          </w:p>
        </w:tc>
        <w:tc>
          <w:tcPr>
            <w:tcW w:w="1591" w:type="dxa"/>
          </w:tcPr>
          <w:p w:rsidR="00A83171" w:rsidRDefault="000709F6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2,050</w:t>
            </w:r>
          </w:p>
        </w:tc>
        <w:tc>
          <w:tcPr>
            <w:tcW w:w="1591" w:type="dxa"/>
          </w:tcPr>
          <w:p w:rsidR="00A83171" w:rsidRDefault="000709F6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</w:t>
            </w:r>
          </w:p>
        </w:tc>
        <w:tc>
          <w:tcPr>
            <w:tcW w:w="1592" w:type="dxa"/>
          </w:tcPr>
          <w:p w:rsidR="00A83171" w:rsidRDefault="00CE4B21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33.78</w:t>
            </w:r>
          </w:p>
        </w:tc>
        <w:tc>
          <w:tcPr>
            <w:tcW w:w="1591" w:type="dxa"/>
          </w:tcPr>
          <w:p w:rsidR="00A83171" w:rsidRDefault="00CE4B21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28.05</w:t>
            </w:r>
          </w:p>
        </w:tc>
      </w:tr>
      <w:tr w:rsidR="00A83171" w:rsidTr="00AB663D">
        <w:tc>
          <w:tcPr>
            <w:tcW w:w="496" w:type="dxa"/>
          </w:tcPr>
          <w:p w:rsidR="00A83171" w:rsidRDefault="00CE4B21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715" w:type="dxa"/>
          </w:tcPr>
          <w:p w:rsidR="00A83171" w:rsidRDefault="00CE4B21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indicator</w:t>
            </w:r>
          </w:p>
        </w:tc>
        <w:tc>
          <w:tcPr>
            <w:tcW w:w="1591" w:type="dxa"/>
          </w:tcPr>
          <w:p w:rsidR="00A83171" w:rsidRDefault="00A83171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</w:tcPr>
          <w:p w:rsidR="00A83171" w:rsidRDefault="00A83171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</w:tcPr>
          <w:p w:rsidR="00A83171" w:rsidRDefault="00A83171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</w:tcPr>
          <w:p w:rsidR="00A83171" w:rsidRDefault="00A83171" w:rsidP="00A83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0C8" w:rsidTr="00AB663D">
        <w:tc>
          <w:tcPr>
            <w:tcW w:w="496" w:type="dxa"/>
          </w:tcPr>
          <w:p w:rsidR="005F60C8" w:rsidRDefault="005F60C8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5F60C8" w:rsidRDefault="005F60C8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</w:t>
            </w:r>
          </w:p>
        </w:tc>
        <w:tc>
          <w:tcPr>
            <w:tcW w:w="1591" w:type="dxa"/>
          </w:tcPr>
          <w:p w:rsidR="005F60C8" w:rsidRDefault="005F60C8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223,450</w:t>
            </w:r>
          </w:p>
        </w:tc>
        <w:tc>
          <w:tcPr>
            <w:tcW w:w="1591" w:type="dxa"/>
          </w:tcPr>
          <w:p w:rsidR="005F60C8" w:rsidRDefault="005F60C8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113,329</w:t>
            </w:r>
          </w:p>
        </w:tc>
        <w:tc>
          <w:tcPr>
            <w:tcW w:w="1592" w:type="dxa"/>
          </w:tcPr>
          <w:p w:rsidR="005F60C8" w:rsidRDefault="005F60C8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50.72</w:t>
            </w:r>
          </w:p>
        </w:tc>
        <w:tc>
          <w:tcPr>
            <w:tcW w:w="1591" w:type="dxa"/>
          </w:tcPr>
          <w:p w:rsidR="005F60C8" w:rsidRDefault="005F60C8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144.87</w:t>
            </w:r>
          </w:p>
        </w:tc>
      </w:tr>
      <w:tr w:rsidR="005F60C8" w:rsidTr="00AB663D">
        <w:tc>
          <w:tcPr>
            <w:tcW w:w="496" w:type="dxa"/>
          </w:tcPr>
          <w:p w:rsidR="005F60C8" w:rsidRDefault="005F60C8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715" w:type="dxa"/>
          </w:tcPr>
          <w:p w:rsidR="005F60C8" w:rsidRDefault="005F60C8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 (including internal income)</w:t>
            </w:r>
          </w:p>
        </w:tc>
        <w:tc>
          <w:tcPr>
            <w:tcW w:w="1591" w:type="dxa"/>
          </w:tcPr>
          <w:p w:rsidR="005F60C8" w:rsidRDefault="005F60C8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591" w:type="dxa"/>
          </w:tcPr>
          <w:p w:rsidR="005F60C8" w:rsidRDefault="005F60C8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45,490</w:t>
            </w:r>
          </w:p>
        </w:tc>
        <w:tc>
          <w:tcPr>
            <w:tcW w:w="1592" w:type="dxa"/>
          </w:tcPr>
          <w:p w:rsidR="005F60C8" w:rsidRDefault="005F60C8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45.49</w:t>
            </w:r>
          </w:p>
        </w:tc>
        <w:tc>
          <w:tcPr>
            <w:tcW w:w="1591" w:type="dxa"/>
          </w:tcPr>
          <w:p w:rsidR="005F60C8" w:rsidRDefault="005F60C8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928.56</w:t>
            </w:r>
          </w:p>
        </w:tc>
      </w:tr>
      <w:tr w:rsidR="005F60C8" w:rsidTr="00AB663D">
        <w:tc>
          <w:tcPr>
            <w:tcW w:w="496" w:type="dxa"/>
          </w:tcPr>
          <w:p w:rsidR="005F60C8" w:rsidRDefault="005F60C8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715" w:type="dxa"/>
          </w:tcPr>
          <w:p w:rsidR="005F60C8" w:rsidRDefault="005F60C8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CN-VLXD (including internal income)</w:t>
            </w:r>
          </w:p>
        </w:tc>
        <w:tc>
          <w:tcPr>
            <w:tcW w:w="1591" w:type="dxa"/>
          </w:tcPr>
          <w:p w:rsidR="005F60C8" w:rsidRDefault="005F60C8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45,000</w:t>
            </w:r>
          </w:p>
        </w:tc>
        <w:tc>
          <w:tcPr>
            <w:tcW w:w="1591" w:type="dxa"/>
          </w:tcPr>
          <w:p w:rsidR="005F60C8" w:rsidRDefault="005F60C8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34,679</w:t>
            </w:r>
          </w:p>
        </w:tc>
        <w:tc>
          <w:tcPr>
            <w:tcW w:w="1592" w:type="dxa"/>
          </w:tcPr>
          <w:p w:rsidR="005F60C8" w:rsidRDefault="005F60C8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77.07</w:t>
            </w:r>
          </w:p>
        </w:tc>
        <w:tc>
          <w:tcPr>
            <w:tcW w:w="1591" w:type="dxa"/>
          </w:tcPr>
          <w:p w:rsidR="005F60C8" w:rsidRDefault="005F60C8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108.09</w:t>
            </w:r>
          </w:p>
        </w:tc>
      </w:tr>
      <w:tr w:rsidR="005F60C8" w:rsidTr="00AB663D">
        <w:tc>
          <w:tcPr>
            <w:tcW w:w="496" w:type="dxa"/>
          </w:tcPr>
          <w:p w:rsidR="005F60C8" w:rsidRDefault="005F60C8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715" w:type="dxa"/>
          </w:tcPr>
          <w:p w:rsidR="005F60C8" w:rsidRDefault="005F60C8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Consultancy </w:t>
            </w:r>
            <w:r>
              <w:rPr>
                <w:rFonts w:ascii="Arial" w:hAnsi="Arial" w:cs="Arial"/>
                <w:sz w:val="20"/>
                <w:szCs w:val="20"/>
              </w:rPr>
              <w:t>(including internal income)</w:t>
            </w:r>
          </w:p>
        </w:tc>
        <w:tc>
          <w:tcPr>
            <w:tcW w:w="1591" w:type="dxa"/>
          </w:tcPr>
          <w:p w:rsidR="005F60C8" w:rsidRDefault="005F60C8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1,450</w:t>
            </w:r>
          </w:p>
        </w:tc>
        <w:tc>
          <w:tcPr>
            <w:tcW w:w="1591" w:type="dxa"/>
          </w:tcPr>
          <w:p w:rsidR="005F60C8" w:rsidRDefault="005F60C8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1,046</w:t>
            </w:r>
          </w:p>
        </w:tc>
        <w:tc>
          <w:tcPr>
            <w:tcW w:w="1592" w:type="dxa"/>
          </w:tcPr>
          <w:p w:rsidR="005F60C8" w:rsidRDefault="005F60C8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72.15</w:t>
            </w:r>
          </w:p>
        </w:tc>
        <w:tc>
          <w:tcPr>
            <w:tcW w:w="1591" w:type="dxa"/>
          </w:tcPr>
          <w:p w:rsidR="005F60C8" w:rsidRDefault="005F60C8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84.92</w:t>
            </w:r>
          </w:p>
        </w:tc>
      </w:tr>
      <w:tr w:rsidR="005F60C8" w:rsidTr="00AB663D">
        <w:tc>
          <w:tcPr>
            <w:tcW w:w="496" w:type="dxa"/>
          </w:tcPr>
          <w:p w:rsidR="005F60C8" w:rsidRDefault="005F60C8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2715" w:type="dxa"/>
          </w:tcPr>
          <w:p w:rsidR="005F60C8" w:rsidRDefault="005F60C8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Housing and infrastructure business revenue</w:t>
            </w:r>
          </w:p>
        </w:tc>
        <w:tc>
          <w:tcPr>
            <w:tcW w:w="1591" w:type="dxa"/>
          </w:tcPr>
          <w:p w:rsidR="005F60C8" w:rsidRDefault="005F60C8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75,000</w:t>
            </w:r>
          </w:p>
        </w:tc>
        <w:tc>
          <w:tcPr>
            <w:tcW w:w="1591" w:type="dxa"/>
          </w:tcPr>
          <w:p w:rsidR="005F60C8" w:rsidRDefault="005F60C8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31,421</w:t>
            </w:r>
          </w:p>
        </w:tc>
        <w:tc>
          <w:tcPr>
            <w:tcW w:w="1592" w:type="dxa"/>
          </w:tcPr>
          <w:p w:rsidR="005F60C8" w:rsidRDefault="005F60C8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41.89</w:t>
            </w:r>
          </w:p>
        </w:tc>
        <w:tc>
          <w:tcPr>
            <w:tcW w:w="1591" w:type="dxa"/>
          </w:tcPr>
          <w:p w:rsidR="005F60C8" w:rsidRDefault="005F60C8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86.53</w:t>
            </w:r>
          </w:p>
        </w:tc>
      </w:tr>
      <w:tr w:rsidR="005F60C8" w:rsidTr="00AB663D">
        <w:tc>
          <w:tcPr>
            <w:tcW w:w="496" w:type="dxa"/>
          </w:tcPr>
          <w:p w:rsidR="005F60C8" w:rsidRDefault="005F60C8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2715" w:type="dxa"/>
          </w:tcPr>
          <w:p w:rsidR="005F60C8" w:rsidRDefault="005F60C8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income</w:t>
            </w:r>
          </w:p>
        </w:tc>
        <w:tc>
          <w:tcPr>
            <w:tcW w:w="1591" w:type="dxa"/>
          </w:tcPr>
          <w:p w:rsidR="005F60C8" w:rsidRDefault="005F60C8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1591" w:type="dxa"/>
          </w:tcPr>
          <w:p w:rsidR="005F60C8" w:rsidRDefault="005F60C8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</w:t>
            </w:r>
          </w:p>
        </w:tc>
        <w:tc>
          <w:tcPr>
            <w:tcW w:w="1592" w:type="dxa"/>
          </w:tcPr>
          <w:p w:rsidR="005F60C8" w:rsidRDefault="005F60C8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34.63</w:t>
            </w:r>
          </w:p>
        </w:tc>
        <w:tc>
          <w:tcPr>
            <w:tcW w:w="1591" w:type="dxa"/>
          </w:tcPr>
          <w:p w:rsidR="005F60C8" w:rsidRDefault="005F60C8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18.73</w:t>
            </w:r>
          </w:p>
        </w:tc>
      </w:tr>
      <w:tr w:rsidR="005F60C8" w:rsidTr="00AB663D">
        <w:tc>
          <w:tcPr>
            <w:tcW w:w="496" w:type="dxa"/>
          </w:tcPr>
          <w:p w:rsidR="005F60C8" w:rsidRDefault="001A66CA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15" w:type="dxa"/>
          </w:tcPr>
          <w:p w:rsidR="005F60C8" w:rsidRDefault="001A66CA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1591" w:type="dxa"/>
          </w:tcPr>
          <w:p w:rsidR="005F60C8" w:rsidRDefault="001A66CA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23,200</w:t>
            </w:r>
          </w:p>
        </w:tc>
        <w:tc>
          <w:tcPr>
            <w:tcW w:w="1591" w:type="dxa"/>
          </w:tcPr>
          <w:p w:rsidR="005F60C8" w:rsidRDefault="001A66CA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10,026</w:t>
            </w:r>
          </w:p>
        </w:tc>
        <w:tc>
          <w:tcPr>
            <w:tcW w:w="1592" w:type="dxa"/>
          </w:tcPr>
          <w:p w:rsidR="005F60C8" w:rsidRDefault="001A66CA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43.22</w:t>
            </w:r>
          </w:p>
        </w:tc>
        <w:tc>
          <w:tcPr>
            <w:tcW w:w="1591" w:type="dxa"/>
          </w:tcPr>
          <w:p w:rsidR="005F60C8" w:rsidRDefault="001A66CA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62.03</w:t>
            </w:r>
          </w:p>
        </w:tc>
      </w:tr>
      <w:tr w:rsidR="005F60C8" w:rsidTr="00AB663D">
        <w:tc>
          <w:tcPr>
            <w:tcW w:w="496" w:type="dxa"/>
          </w:tcPr>
          <w:p w:rsidR="005F60C8" w:rsidRDefault="001A66CA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715" w:type="dxa"/>
          </w:tcPr>
          <w:p w:rsidR="005F60C8" w:rsidRDefault="001A66CA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</w:t>
            </w:r>
          </w:p>
        </w:tc>
        <w:tc>
          <w:tcPr>
            <w:tcW w:w="1591" w:type="dxa"/>
          </w:tcPr>
          <w:p w:rsidR="005F60C8" w:rsidRDefault="001A66CA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591" w:type="dxa"/>
          </w:tcPr>
          <w:p w:rsidR="005F60C8" w:rsidRDefault="001A66CA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1592" w:type="dxa"/>
          </w:tcPr>
          <w:p w:rsidR="005F60C8" w:rsidRDefault="001A66CA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68.24</w:t>
            </w:r>
          </w:p>
        </w:tc>
        <w:tc>
          <w:tcPr>
            <w:tcW w:w="1591" w:type="dxa"/>
          </w:tcPr>
          <w:p w:rsidR="005F60C8" w:rsidRDefault="001A66CA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598.55</w:t>
            </w:r>
          </w:p>
        </w:tc>
      </w:tr>
      <w:tr w:rsidR="005F60C8" w:rsidTr="00AB663D">
        <w:tc>
          <w:tcPr>
            <w:tcW w:w="496" w:type="dxa"/>
          </w:tcPr>
          <w:p w:rsidR="005F60C8" w:rsidRDefault="001A66CA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2715" w:type="dxa"/>
          </w:tcPr>
          <w:p w:rsidR="005F60C8" w:rsidRDefault="001A66CA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CN-VLXD</w:t>
            </w:r>
          </w:p>
        </w:tc>
        <w:tc>
          <w:tcPr>
            <w:tcW w:w="1591" w:type="dxa"/>
          </w:tcPr>
          <w:p w:rsidR="005F60C8" w:rsidRDefault="001A66CA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91" w:type="dxa"/>
          </w:tcPr>
          <w:p w:rsidR="005F60C8" w:rsidRDefault="001A66CA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</w:t>
            </w:r>
          </w:p>
        </w:tc>
        <w:tc>
          <w:tcPr>
            <w:tcW w:w="1592" w:type="dxa"/>
          </w:tcPr>
          <w:p w:rsidR="005F60C8" w:rsidRDefault="001A66CA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75.66</w:t>
            </w:r>
          </w:p>
        </w:tc>
        <w:tc>
          <w:tcPr>
            <w:tcW w:w="1591" w:type="dxa"/>
          </w:tcPr>
          <w:p w:rsidR="005F60C8" w:rsidRDefault="001A66CA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111.32</w:t>
            </w:r>
          </w:p>
        </w:tc>
      </w:tr>
      <w:tr w:rsidR="005F60C8" w:rsidTr="00AB663D">
        <w:tc>
          <w:tcPr>
            <w:tcW w:w="496" w:type="dxa"/>
          </w:tcPr>
          <w:p w:rsidR="005F60C8" w:rsidRDefault="001A66CA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2715" w:type="dxa"/>
          </w:tcPr>
          <w:p w:rsidR="005F60C8" w:rsidRDefault="001A66CA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Consultancy</w:t>
            </w:r>
          </w:p>
        </w:tc>
        <w:tc>
          <w:tcPr>
            <w:tcW w:w="1591" w:type="dxa"/>
          </w:tcPr>
          <w:p w:rsidR="005F60C8" w:rsidRDefault="001A66CA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91" w:type="dxa"/>
          </w:tcPr>
          <w:p w:rsidR="005F60C8" w:rsidRDefault="001A66CA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592" w:type="dxa"/>
          </w:tcPr>
          <w:p w:rsidR="005F60C8" w:rsidRDefault="001A66CA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67.59</w:t>
            </w:r>
          </w:p>
        </w:tc>
        <w:tc>
          <w:tcPr>
            <w:tcW w:w="1591" w:type="dxa"/>
          </w:tcPr>
          <w:p w:rsidR="005F60C8" w:rsidRDefault="001A66CA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161.01</w:t>
            </w:r>
          </w:p>
        </w:tc>
      </w:tr>
      <w:tr w:rsidR="005F60C8" w:rsidTr="00AB663D">
        <w:tc>
          <w:tcPr>
            <w:tcW w:w="496" w:type="dxa"/>
          </w:tcPr>
          <w:p w:rsidR="005F60C8" w:rsidRDefault="001A66CA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715" w:type="dxa"/>
          </w:tcPr>
          <w:p w:rsidR="005F60C8" w:rsidRDefault="001964C9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Housing and infrastructure business</w:t>
            </w:r>
          </w:p>
        </w:tc>
        <w:tc>
          <w:tcPr>
            <w:tcW w:w="1591" w:type="dxa"/>
          </w:tcPr>
          <w:p w:rsidR="005F60C8" w:rsidRDefault="001964C9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21,500</w:t>
            </w:r>
          </w:p>
        </w:tc>
        <w:tc>
          <w:tcPr>
            <w:tcW w:w="1591" w:type="dxa"/>
          </w:tcPr>
          <w:p w:rsidR="005F60C8" w:rsidRDefault="001964C9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8,516</w:t>
            </w:r>
          </w:p>
        </w:tc>
        <w:tc>
          <w:tcPr>
            <w:tcW w:w="1592" w:type="dxa"/>
          </w:tcPr>
          <w:p w:rsidR="005F60C8" w:rsidRDefault="001964C9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39.61</w:t>
            </w:r>
          </w:p>
        </w:tc>
        <w:tc>
          <w:tcPr>
            <w:tcW w:w="1591" w:type="dxa"/>
          </w:tcPr>
          <w:p w:rsidR="005F60C8" w:rsidRDefault="001964C9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62.70</w:t>
            </w:r>
          </w:p>
        </w:tc>
      </w:tr>
      <w:tr w:rsidR="001A66CA" w:rsidTr="00AB663D">
        <w:tc>
          <w:tcPr>
            <w:tcW w:w="496" w:type="dxa"/>
          </w:tcPr>
          <w:p w:rsidR="001A66CA" w:rsidRDefault="001A66CA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2715" w:type="dxa"/>
          </w:tcPr>
          <w:p w:rsidR="001A66CA" w:rsidRDefault="001964C9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profit</w:t>
            </w:r>
          </w:p>
        </w:tc>
        <w:tc>
          <w:tcPr>
            <w:tcW w:w="1591" w:type="dxa"/>
          </w:tcPr>
          <w:p w:rsidR="001A66CA" w:rsidRDefault="001964C9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1" w:type="dxa"/>
          </w:tcPr>
          <w:p w:rsidR="001A66CA" w:rsidRDefault="001964C9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1592" w:type="dxa"/>
          </w:tcPr>
          <w:p w:rsidR="001A66CA" w:rsidRDefault="001A66CA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</w:tcPr>
          <w:p w:rsidR="001A66CA" w:rsidRDefault="001964C9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15.18</w:t>
            </w:r>
          </w:p>
        </w:tc>
      </w:tr>
      <w:tr w:rsidR="001A66CA" w:rsidTr="00AB663D">
        <w:tc>
          <w:tcPr>
            <w:tcW w:w="496" w:type="dxa"/>
          </w:tcPr>
          <w:p w:rsidR="001A66CA" w:rsidRDefault="001964C9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715" w:type="dxa"/>
          </w:tcPr>
          <w:p w:rsidR="001A66CA" w:rsidRDefault="001964C9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investment</w:t>
            </w:r>
          </w:p>
        </w:tc>
        <w:tc>
          <w:tcPr>
            <w:tcW w:w="1591" w:type="dxa"/>
          </w:tcPr>
          <w:p w:rsidR="001A66CA" w:rsidRDefault="001964C9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319,820</w:t>
            </w:r>
          </w:p>
        </w:tc>
        <w:tc>
          <w:tcPr>
            <w:tcW w:w="1591" w:type="dxa"/>
          </w:tcPr>
          <w:p w:rsidR="001A66CA" w:rsidRDefault="005863B3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5,758</w:t>
            </w:r>
          </w:p>
        </w:tc>
        <w:tc>
          <w:tcPr>
            <w:tcW w:w="1592" w:type="dxa"/>
          </w:tcPr>
          <w:p w:rsidR="001A66CA" w:rsidRDefault="005863B3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1.80</w:t>
            </w:r>
          </w:p>
        </w:tc>
        <w:tc>
          <w:tcPr>
            <w:tcW w:w="1591" w:type="dxa"/>
          </w:tcPr>
          <w:p w:rsidR="001A66CA" w:rsidRDefault="005863B3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14.38</w:t>
            </w:r>
          </w:p>
        </w:tc>
      </w:tr>
      <w:tr w:rsidR="001A66CA" w:rsidTr="00AB663D">
        <w:tc>
          <w:tcPr>
            <w:tcW w:w="496" w:type="dxa"/>
          </w:tcPr>
          <w:p w:rsidR="001A66CA" w:rsidRDefault="005863B3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715" w:type="dxa"/>
          </w:tcPr>
          <w:p w:rsidR="001A66CA" w:rsidRDefault="005863B3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income (person/ month)</w:t>
            </w:r>
          </w:p>
        </w:tc>
        <w:tc>
          <w:tcPr>
            <w:tcW w:w="1591" w:type="dxa"/>
          </w:tcPr>
          <w:p w:rsidR="001A66CA" w:rsidRDefault="005863B3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12,400</w:t>
            </w:r>
          </w:p>
        </w:tc>
        <w:tc>
          <w:tcPr>
            <w:tcW w:w="1591" w:type="dxa"/>
          </w:tcPr>
          <w:p w:rsidR="001A66CA" w:rsidRDefault="005863B3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12,400</w:t>
            </w:r>
          </w:p>
        </w:tc>
        <w:tc>
          <w:tcPr>
            <w:tcW w:w="1592" w:type="dxa"/>
          </w:tcPr>
          <w:p w:rsidR="001A66CA" w:rsidRDefault="005863B3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1591" w:type="dxa"/>
          </w:tcPr>
          <w:p w:rsidR="001A66CA" w:rsidRDefault="005863B3" w:rsidP="005F60C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183.70</w:t>
            </w:r>
          </w:p>
        </w:tc>
      </w:tr>
    </w:tbl>
    <w:p w:rsidR="006C6376" w:rsidRDefault="006C637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863B3" w:rsidRDefault="00974D6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 Operation plan for the third quarter of 2020</w:t>
      </w:r>
    </w:p>
    <w:p w:rsidR="00974D6C" w:rsidRDefault="00974D6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Unit: VND million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3353"/>
        <w:gridCol w:w="1911"/>
        <w:gridCol w:w="1908"/>
        <w:gridCol w:w="1909"/>
      </w:tblGrid>
      <w:tr w:rsidR="002F61EF" w:rsidTr="002F61EF">
        <w:tc>
          <w:tcPr>
            <w:tcW w:w="495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53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911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2020</w:t>
            </w:r>
          </w:p>
        </w:tc>
        <w:tc>
          <w:tcPr>
            <w:tcW w:w="1908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for the third quarter of 2020</w:t>
            </w:r>
          </w:p>
        </w:tc>
        <w:tc>
          <w:tcPr>
            <w:tcW w:w="1909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%</w:t>
            </w:r>
            <w:r w:rsidR="004E4C9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4E4C9D">
              <w:rPr>
                <w:rFonts w:ascii="Arial" w:hAnsi="Arial" w:cs="Arial"/>
                <w:sz w:val="20"/>
                <w:szCs w:val="20"/>
              </w:rPr>
              <w:t>the third quarter of 2020</w:t>
            </w:r>
            <w:r w:rsidR="004E4C9D">
              <w:rPr>
                <w:rFonts w:ascii="Arial" w:hAnsi="Arial" w:cs="Arial"/>
                <w:sz w:val="20"/>
                <w:szCs w:val="20"/>
              </w:rPr>
              <w:t xml:space="preserve"> compared to 2020 plan</w:t>
            </w:r>
          </w:p>
        </w:tc>
      </w:tr>
      <w:tr w:rsidR="002F61EF" w:rsidTr="002F61EF">
        <w:tc>
          <w:tcPr>
            <w:tcW w:w="495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3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1EF" w:rsidTr="002F61EF">
        <w:tc>
          <w:tcPr>
            <w:tcW w:w="495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353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production</w:t>
            </w:r>
          </w:p>
        </w:tc>
        <w:tc>
          <w:tcPr>
            <w:tcW w:w="1911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354,100</w:t>
            </w:r>
          </w:p>
        </w:tc>
        <w:tc>
          <w:tcPr>
            <w:tcW w:w="1908" w:type="dxa"/>
          </w:tcPr>
          <w:p w:rsidR="002F61EF" w:rsidRDefault="004E4C9D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105,895</w:t>
            </w:r>
          </w:p>
        </w:tc>
        <w:tc>
          <w:tcPr>
            <w:tcW w:w="1909" w:type="dxa"/>
          </w:tcPr>
          <w:p w:rsidR="002F61EF" w:rsidRDefault="004E4C9D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29.91</w:t>
            </w:r>
          </w:p>
        </w:tc>
      </w:tr>
      <w:tr w:rsidR="002F61EF" w:rsidTr="002F61EF">
        <w:tc>
          <w:tcPr>
            <w:tcW w:w="495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53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</w:t>
            </w:r>
          </w:p>
        </w:tc>
        <w:tc>
          <w:tcPr>
            <w:tcW w:w="1911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120,000</w:t>
            </w:r>
          </w:p>
        </w:tc>
        <w:tc>
          <w:tcPr>
            <w:tcW w:w="1908" w:type="dxa"/>
          </w:tcPr>
          <w:p w:rsidR="002F61EF" w:rsidRDefault="004E4C9D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32,000</w:t>
            </w:r>
          </w:p>
        </w:tc>
        <w:tc>
          <w:tcPr>
            <w:tcW w:w="1909" w:type="dxa"/>
          </w:tcPr>
          <w:p w:rsidR="002F61EF" w:rsidRDefault="004E4C9D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26.67</w:t>
            </w:r>
          </w:p>
        </w:tc>
      </w:tr>
      <w:tr w:rsidR="002F61EF" w:rsidTr="002F61EF">
        <w:tc>
          <w:tcPr>
            <w:tcW w:w="495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53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CN-VLXD</w:t>
            </w:r>
          </w:p>
        </w:tc>
        <w:tc>
          <w:tcPr>
            <w:tcW w:w="1911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1908" w:type="dxa"/>
          </w:tcPr>
          <w:p w:rsidR="002F61EF" w:rsidRDefault="004E4C9D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13,000</w:t>
            </w:r>
          </w:p>
        </w:tc>
        <w:tc>
          <w:tcPr>
            <w:tcW w:w="1909" w:type="dxa"/>
          </w:tcPr>
          <w:p w:rsidR="002F61EF" w:rsidRDefault="004E4C9D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26.00</w:t>
            </w:r>
          </w:p>
        </w:tc>
      </w:tr>
      <w:tr w:rsidR="002F61EF" w:rsidTr="002F61EF">
        <w:tc>
          <w:tcPr>
            <w:tcW w:w="495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53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Consultancy</w:t>
            </w:r>
          </w:p>
        </w:tc>
        <w:tc>
          <w:tcPr>
            <w:tcW w:w="1911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2,050</w:t>
            </w:r>
          </w:p>
        </w:tc>
        <w:tc>
          <w:tcPr>
            <w:tcW w:w="1908" w:type="dxa"/>
          </w:tcPr>
          <w:p w:rsidR="002F61EF" w:rsidRDefault="004E4C9D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1909" w:type="dxa"/>
          </w:tcPr>
          <w:p w:rsidR="002F61EF" w:rsidRDefault="004E4C9D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24.15</w:t>
            </w:r>
          </w:p>
        </w:tc>
      </w:tr>
      <w:tr w:rsidR="002F61EF" w:rsidTr="002F61EF">
        <w:tc>
          <w:tcPr>
            <w:tcW w:w="495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53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Housing and infrastructure</w:t>
            </w:r>
          </w:p>
        </w:tc>
        <w:tc>
          <w:tcPr>
            <w:tcW w:w="1911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180,000</w:t>
            </w:r>
          </w:p>
        </w:tc>
        <w:tc>
          <w:tcPr>
            <w:tcW w:w="1908" w:type="dxa"/>
          </w:tcPr>
          <w:p w:rsidR="002F61EF" w:rsidRDefault="004E4C9D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60,000</w:t>
            </w:r>
          </w:p>
        </w:tc>
        <w:tc>
          <w:tcPr>
            <w:tcW w:w="1909" w:type="dxa"/>
          </w:tcPr>
          <w:p w:rsidR="002F61EF" w:rsidRDefault="004E4C9D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33.33</w:t>
            </w:r>
          </w:p>
        </w:tc>
      </w:tr>
      <w:tr w:rsidR="002F61EF" w:rsidTr="002F61EF">
        <w:tc>
          <w:tcPr>
            <w:tcW w:w="495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53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income</w:t>
            </w:r>
          </w:p>
        </w:tc>
        <w:tc>
          <w:tcPr>
            <w:tcW w:w="1911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2,050</w:t>
            </w:r>
          </w:p>
        </w:tc>
        <w:tc>
          <w:tcPr>
            <w:tcW w:w="1908" w:type="dxa"/>
          </w:tcPr>
          <w:p w:rsidR="002F61EF" w:rsidRDefault="004E4C9D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909" w:type="dxa"/>
          </w:tcPr>
          <w:p w:rsidR="002F61EF" w:rsidRDefault="004E4C9D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19.51</w:t>
            </w:r>
          </w:p>
        </w:tc>
      </w:tr>
      <w:tr w:rsidR="002F61EF" w:rsidTr="002F61EF">
        <w:tc>
          <w:tcPr>
            <w:tcW w:w="495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3353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indicator</w:t>
            </w:r>
          </w:p>
        </w:tc>
        <w:tc>
          <w:tcPr>
            <w:tcW w:w="1911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8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1EF" w:rsidTr="002F61EF">
        <w:tc>
          <w:tcPr>
            <w:tcW w:w="495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53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</w:t>
            </w:r>
          </w:p>
        </w:tc>
        <w:tc>
          <w:tcPr>
            <w:tcW w:w="1911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223,450</w:t>
            </w:r>
          </w:p>
        </w:tc>
        <w:tc>
          <w:tcPr>
            <w:tcW w:w="1908" w:type="dxa"/>
          </w:tcPr>
          <w:p w:rsidR="002F61EF" w:rsidRDefault="004E4C9D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66,020</w:t>
            </w:r>
          </w:p>
        </w:tc>
        <w:tc>
          <w:tcPr>
            <w:tcW w:w="1909" w:type="dxa"/>
          </w:tcPr>
          <w:p w:rsidR="002F61EF" w:rsidRDefault="004E4C9D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29.55</w:t>
            </w:r>
          </w:p>
        </w:tc>
      </w:tr>
      <w:tr w:rsidR="002F61EF" w:rsidTr="002F61EF">
        <w:tc>
          <w:tcPr>
            <w:tcW w:w="495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353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 (including internal income)</w:t>
            </w:r>
          </w:p>
        </w:tc>
        <w:tc>
          <w:tcPr>
            <w:tcW w:w="1911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908" w:type="dxa"/>
          </w:tcPr>
          <w:p w:rsidR="002F61EF" w:rsidRDefault="004E4C9D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30,455</w:t>
            </w:r>
          </w:p>
        </w:tc>
        <w:tc>
          <w:tcPr>
            <w:tcW w:w="1909" w:type="dxa"/>
          </w:tcPr>
          <w:p w:rsidR="002F61EF" w:rsidRDefault="004E4C9D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30.45</w:t>
            </w:r>
          </w:p>
        </w:tc>
      </w:tr>
      <w:tr w:rsidR="002F61EF" w:rsidTr="002F61EF">
        <w:tc>
          <w:tcPr>
            <w:tcW w:w="495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353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CN-VLXD (including internal income)</w:t>
            </w:r>
          </w:p>
        </w:tc>
        <w:tc>
          <w:tcPr>
            <w:tcW w:w="1911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45,000</w:t>
            </w:r>
          </w:p>
        </w:tc>
        <w:tc>
          <w:tcPr>
            <w:tcW w:w="1908" w:type="dxa"/>
          </w:tcPr>
          <w:p w:rsidR="002F61EF" w:rsidRDefault="004E4C9D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11,818</w:t>
            </w:r>
          </w:p>
        </w:tc>
        <w:tc>
          <w:tcPr>
            <w:tcW w:w="1909" w:type="dxa"/>
          </w:tcPr>
          <w:p w:rsidR="002F61EF" w:rsidRDefault="004E4C9D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26.26</w:t>
            </w:r>
          </w:p>
        </w:tc>
      </w:tr>
      <w:tr w:rsidR="002F61EF" w:rsidTr="002F61EF">
        <w:tc>
          <w:tcPr>
            <w:tcW w:w="495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353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Consultancy </w:t>
            </w:r>
            <w:r>
              <w:rPr>
                <w:rFonts w:ascii="Arial" w:hAnsi="Arial" w:cs="Arial"/>
                <w:sz w:val="20"/>
                <w:szCs w:val="20"/>
              </w:rPr>
              <w:t>(including internal income)</w:t>
            </w:r>
          </w:p>
        </w:tc>
        <w:tc>
          <w:tcPr>
            <w:tcW w:w="1911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1,450</w:t>
            </w:r>
          </w:p>
        </w:tc>
        <w:tc>
          <w:tcPr>
            <w:tcW w:w="1908" w:type="dxa"/>
          </w:tcPr>
          <w:p w:rsidR="002F61EF" w:rsidRDefault="004E4C9D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909" w:type="dxa"/>
          </w:tcPr>
          <w:p w:rsidR="002F61EF" w:rsidRDefault="004E4C9D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42.76</w:t>
            </w:r>
          </w:p>
        </w:tc>
      </w:tr>
      <w:tr w:rsidR="002F61EF" w:rsidTr="002F61EF">
        <w:tc>
          <w:tcPr>
            <w:tcW w:w="495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353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Housing and infrastructure business revenue</w:t>
            </w:r>
          </w:p>
        </w:tc>
        <w:tc>
          <w:tcPr>
            <w:tcW w:w="1911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75,000</w:t>
            </w:r>
          </w:p>
        </w:tc>
        <w:tc>
          <w:tcPr>
            <w:tcW w:w="1908" w:type="dxa"/>
          </w:tcPr>
          <w:p w:rsidR="002F61EF" w:rsidRDefault="004E4C9D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22,727</w:t>
            </w:r>
          </w:p>
        </w:tc>
        <w:tc>
          <w:tcPr>
            <w:tcW w:w="1909" w:type="dxa"/>
          </w:tcPr>
          <w:p w:rsidR="002F61EF" w:rsidRDefault="004E4C9D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30.30</w:t>
            </w:r>
          </w:p>
        </w:tc>
      </w:tr>
      <w:tr w:rsidR="002F61EF" w:rsidTr="002F61EF">
        <w:tc>
          <w:tcPr>
            <w:tcW w:w="495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353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income</w:t>
            </w:r>
          </w:p>
        </w:tc>
        <w:tc>
          <w:tcPr>
            <w:tcW w:w="1911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1908" w:type="dxa"/>
          </w:tcPr>
          <w:p w:rsidR="002F61EF" w:rsidRDefault="001A38F7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909" w:type="dxa"/>
          </w:tcPr>
          <w:p w:rsidR="002F61EF" w:rsidRDefault="001A38F7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</w:tr>
      <w:tr w:rsidR="002F61EF" w:rsidTr="002F61EF">
        <w:tc>
          <w:tcPr>
            <w:tcW w:w="495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53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1911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23,200</w:t>
            </w:r>
          </w:p>
        </w:tc>
        <w:tc>
          <w:tcPr>
            <w:tcW w:w="1908" w:type="dxa"/>
          </w:tcPr>
          <w:p w:rsidR="002F61EF" w:rsidRDefault="001A38F7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5,199</w:t>
            </w:r>
          </w:p>
        </w:tc>
        <w:tc>
          <w:tcPr>
            <w:tcW w:w="1909" w:type="dxa"/>
          </w:tcPr>
          <w:p w:rsidR="002F61EF" w:rsidRDefault="001A38F7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22.41</w:t>
            </w:r>
          </w:p>
        </w:tc>
      </w:tr>
      <w:tr w:rsidR="002F61EF" w:rsidTr="002F61EF">
        <w:tc>
          <w:tcPr>
            <w:tcW w:w="495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353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</w:t>
            </w:r>
          </w:p>
        </w:tc>
        <w:tc>
          <w:tcPr>
            <w:tcW w:w="1911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908" w:type="dxa"/>
          </w:tcPr>
          <w:p w:rsidR="002F61EF" w:rsidRDefault="001A38F7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</w:t>
            </w:r>
          </w:p>
        </w:tc>
        <w:tc>
          <w:tcPr>
            <w:tcW w:w="1909" w:type="dxa"/>
          </w:tcPr>
          <w:p w:rsidR="002F61EF" w:rsidRDefault="001A38F7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45.68</w:t>
            </w:r>
          </w:p>
        </w:tc>
      </w:tr>
      <w:tr w:rsidR="002F61EF" w:rsidTr="002F61EF">
        <w:tc>
          <w:tcPr>
            <w:tcW w:w="495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353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CN-VLXD</w:t>
            </w:r>
          </w:p>
        </w:tc>
        <w:tc>
          <w:tcPr>
            <w:tcW w:w="1911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908" w:type="dxa"/>
          </w:tcPr>
          <w:p w:rsidR="002F61EF" w:rsidRDefault="001A38F7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1909" w:type="dxa"/>
          </w:tcPr>
          <w:p w:rsidR="002F61EF" w:rsidRDefault="001A38F7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25.59</w:t>
            </w:r>
          </w:p>
        </w:tc>
      </w:tr>
      <w:tr w:rsidR="002F61EF" w:rsidTr="002F61EF">
        <w:tc>
          <w:tcPr>
            <w:tcW w:w="495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353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Consultancy</w:t>
            </w:r>
          </w:p>
        </w:tc>
        <w:tc>
          <w:tcPr>
            <w:tcW w:w="1911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08" w:type="dxa"/>
          </w:tcPr>
          <w:p w:rsidR="002F61EF" w:rsidRDefault="001A38F7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909" w:type="dxa"/>
          </w:tcPr>
          <w:p w:rsidR="002F61EF" w:rsidRDefault="001A38F7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42.76</w:t>
            </w:r>
          </w:p>
        </w:tc>
      </w:tr>
      <w:tr w:rsidR="002F61EF" w:rsidTr="002F61EF">
        <w:tc>
          <w:tcPr>
            <w:tcW w:w="495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3353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Housing and infrastructure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business</w:t>
            </w:r>
          </w:p>
        </w:tc>
        <w:tc>
          <w:tcPr>
            <w:tcW w:w="1911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21,500</w:t>
            </w:r>
          </w:p>
        </w:tc>
        <w:tc>
          <w:tcPr>
            <w:tcW w:w="1908" w:type="dxa"/>
          </w:tcPr>
          <w:p w:rsidR="002F61EF" w:rsidRDefault="001A38F7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4,545</w:t>
            </w:r>
          </w:p>
        </w:tc>
        <w:tc>
          <w:tcPr>
            <w:tcW w:w="1909" w:type="dxa"/>
          </w:tcPr>
          <w:p w:rsidR="002F61EF" w:rsidRDefault="001A38F7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21.14</w:t>
            </w:r>
          </w:p>
        </w:tc>
      </w:tr>
      <w:tr w:rsidR="002F61EF" w:rsidTr="002F61EF">
        <w:tc>
          <w:tcPr>
            <w:tcW w:w="495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2.5</w:t>
            </w:r>
          </w:p>
        </w:tc>
        <w:tc>
          <w:tcPr>
            <w:tcW w:w="3353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profit</w:t>
            </w:r>
          </w:p>
        </w:tc>
        <w:tc>
          <w:tcPr>
            <w:tcW w:w="1911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08" w:type="dxa"/>
          </w:tcPr>
          <w:p w:rsidR="002F61EF" w:rsidRDefault="001A38F7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09" w:type="dxa"/>
          </w:tcPr>
          <w:p w:rsidR="002F61EF" w:rsidRDefault="001A38F7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F61EF" w:rsidTr="002F61EF">
        <w:tc>
          <w:tcPr>
            <w:tcW w:w="495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3353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investment</w:t>
            </w:r>
          </w:p>
        </w:tc>
        <w:tc>
          <w:tcPr>
            <w:tcW w:w="1911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319,820</w:t>
            </w:r>
          </w:p>
        </w:tc>
        <w:tc>
          <w:tcPr>
            <w:tcW w:w="1908" w:type="dxa"/>
          </w:tcPr>
          <w:p w:rsidR="002F61EF" w:rsidRDefault="001A38F7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51,220</w:t>
            </w:r>
          </w:p>
        </w:tc>
        <w:tc>
          <w:tcPr>
            <w:tcW w:w="1909" w:type="dxa"/>
          </w:tcPr>
          <w:p w:rsidR="002F61EF" w:rsidRDefault="001A38F7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</w:tr>
      <w:tr w:rsidR="002F61EF" w:rsidTr="002F61EF">
        <w:tc>
          <w:tcPr>
            <w:tcW w:w="495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3353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Average income (person/ month)</w:t>
            </w:r>
          </w:p>
        </w:tc>
        <w:tc>
          <w:tcPr>
            <w:tcW w:w="1911" w:type="dxa"/>
          </w:tcPr>
          <w:p w:rsidR="002F61EF" w:rsidRDefault="002F61EF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12,400</w:t>
            </w:r>
          </w:p>
        </w:tc>
        <w:tc>
          <w:tcPr>
            <w:tcW w:w="1908" w:type="dxa"/>
          </w:tcPr>
          <w:p w:rsidR="002F61EF" w:rsidRDefault="001A38F7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12,400</w:t>
            </w:r>
          </w:p>
        </w:tc>
        <w:tc>
          <w:tcPr>
            <w:tcW w:w="1909" w:type="dxa"/>
          </w:tcPr>
          <w:p w:rsidR="002F61EF" w:rsidRDefault="001A38F7" w:rsidP="002F61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</w:tbl>
    <w:p w:rsidR="001A38F7" w:rsidRDefault="001A38F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364E1" w:rsidRDefault="001A38F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38F7">
        <w:rPr>
          <w:rFonts w:ascii="Arial" w:hAnsi="Arial" w:cs="Arial"/>
          <w:sz w:val="20"/>
          <w:szCs w:val="20"/>
        </w:rPr>
        <w:t xml:space="preserve">2. Approving the report on the implementation of the Company's investment projects, the Board of Directors agreed on the following contents: </w:t>
      </w:r>
    </w:p>
    <w:p w:rsidR="00B51807" w:rsidRDefault="001364E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1A38F7" w:rsidRPr="001A38F7">
        <w:rPr>
          <w:rFonts w:ascii="Arial" w:hAnsi="Arial" w:cs="Arial"/>
          <w:sz w:val="20"/>
          <w:szCs w:val="20"/>
        </w:rPr>
        <w:t xml:space="preserve">KDC Project </w:t>
      </w:r>
      <w:r>
        <w:rPr>
          <w:rFonts w:ascii="Arial" w:hAnsi="Arial" w:cs="Arial"/>
          <w:sz w:val="20"/>
          <w:szCs w:val="20"/>
        </w:rPr>
        <w:t>for Ward 6 e</w:t>
      </w:r>
      <w:r w:rsidR="001A38F7" w:rsidRPr="001A38F7">
        <w:rPr>
          <w:rFonts w:ascii="Arial" w:hAnsi="Arial" w:cs="Arial"/>
          <w:sz w:val="20"/>
          <w:szCs w:val="20"/>
        </w:rPr>
        <w:t xml:space="preserve">xpansion, Tan </w:t>
      </w:r>
      <w:proofErr w:type="gramStart"/>
      <w:r w:rsidR="001A38F7" w:rsidRPr="001A38F7">
        <w:rPr>
          <w:rFonts w:ascii="Arial" w:hAnsi="Arial" w:cs="Arial"/>
          <w:sz w:val="20"/>
          <w:szCs w:val="20"/>
        </w:rPr>
        <w:t>An</w:t>
      </w:r>
      <w:proofErr w:type="gramEnd"/>
      <w:r w:rsidR="001A38F7" w:rsidRPr="001A38F7">
        <w:rPr>
          <w:rFonts w:ascii="Arial" w:hAnsi="Arial" w:cs="Arial"/>
          <w:sz w:val="20"/>
          <w:szCs w:val="20"/>
        </w:rPr>
        <w:t xml:space="preserve"> City, Long An Province: The Board of Directors agreed with the </w:t>
      </w:r>
      <w:r>
        <w:rPr>
          <w:rFonts w:ascii="Arial" w:hAnsi="Arial" w:cs="Arial"/>
          <w:sz w:val="20"/>
          <w:szCs w:val="20"/>
        </w:rPr>
        <w:t>Management Board</w:t>
      </w:r>
      <w:r w:rsidR="001A38F7" w:rsidRPr="001A38F7">
        <w:rPr>
          <w:rFonts w:ascii="Arial" w:hAnsi="Arial" w:cs="Arial"/>
          <w:sz w:val="20"/>
          <w:szCs w:val="20"/>
        </w:rPr>
        <w:t xml:space="preserve"> about the work being implemented after adjusting the project planning. In order to ensure the capital recovery, balance the revenue sources for the Company</w:t>
      </w:r>
      <w:r w:rsidR="007F46AC">
        <w:rPr>
          <w:rFonts w:ascii="Arial" w:hAnsi="Arial" w:cs="Arial"/>
          <w:sz w:val="20"/>
          <w:szCs w:val="20"/>
        </w:rPr>
        <w:t>'s production and business</w:t>
      </w:r>
      <w:r w:rsidR="001A38F7" w:rsidRPr="001A38F7">
        <w:rPr>
          <w:rFonts w:ascii="Arial" w:hAnsi="Arial" w:cs="Arial"/>
          <w:sz w:val="20"/>
          <w:szCs w:val="20"/>
        </w:rPr>
        <w:t>, and at the same time focus on developing investment projects under the produc</w:t>
      </w:r>
      <w:r w:rsidR="00B51807">
        <w:rPr>
          <w:rFonts w:ascii="Arial" w:hAnsi="Arial" w:cs="Arial"/>
          <w:sz w:val="20"/>
          <w:szCs w:val="20"/>
        </w:rPr>
        <w:t>tion and business plan of 2020. T</w:t>
      </w:r>
      <w:r w:rsidR="007F46AC">
        <w:rPr>
          <w:rFonts w:ascii="Arial" w:hAnsi="Arial" w:cs="Arial"/>
          <w:sz w:val="20"/>
          <w:szCs w:val="20"/>
        </w:rPr>
        <w:t>he Board of Directors approved</w:t>
      </w:r>
      <w:r w:rsidR="001A38F7" w:rsidRPr="001A38F7">
        <w:rPr>
          <w:rFonts w:ascii="Arial" w:hAnsi="Arial" w:cs="Arial"/>
          <w:sz w:val="20"/>
          <w:szCs w:val="20"/>
        </w:rPr>
        <w:t xml:space="preserve"> and ass</w:t>
      </w:r>
      <w:r w:rsidR="007F46AC">
        <w:rPr>
          <w:rFonts w:ascii="Arial" w:hAnsi="Arial" w:cs="Arial"/>
          <w:sz w:val="20"/>
          <w:szCs w:val="20"/>
        </w:rPr>
        <w:t>igned</w:t>
      </w:r>
      <w:r w:rsidR="001A38F7" w:rsidRPr="001A38F7">
        <w:rPr>
          <w:rFonts w:ascii="Arial" w:hAnsi="Arial" w:cs="Arial"/>
          <w:sz w:val="20"/>
          <w:szCs w:val="20"/>
        </w:rPr>
        <w:t xml:space="preserve"> the Director of the </w:t>
      </w:r>
      <w:r w:rsidR="00B51807">
        <w:rPr>
          <w:rFonts w:ascii="Arial" w:hAnsi="Arial" w:cs="Arial"/>
          <w:sz w:val="20"/>
          <w:szCs w:val="20"/>
        </w:rPr>
        <w:t>C</w:t>
      </w:r>
      <w:r w:rsidR="001A38F7" w:rsidRPr="001A38F7">
        <w:rPr>
          <w:rFonts w:ascii="Arial" w:hAnsi="Arial" w:cs="Arial"/>
          <w:sz w:val="20"/>
          <w:szCs w:val="20"/>
        </w:rPr>
        <w:t xml:space="preserve">ompany to carry out the business of the Project's products in parallel with completing the remaining procedures </w:t>
      </w:r>
      <w:r w:rsidR="00B51807">
        <w:rPr>
          <w:rFonts w:ascii="Arial" w:hAnsi="Arial" w:cs="Arial"/>
          <w:sz w:val="20"/>
          <w:szCs w:val="20"/>
        </w:rPr>
        <w:t>(</w:t>
      </w:r>
      <w:r w:rsidR="00B51807" w:rsidRPr="00B51807">
        <w:rPr>
          <w:rFonts w:ascii="Arial" w:hAnsi="Arial" w:cs="Arial"/>
          <w:sz w:val="20"/>
          <w:szCs w:val="20"/>
        </w:rPr>
        <w:t>splitting parcel and accepting land use right</w:t>
      </w:r>
      <w:r w:rsidR="00B51807">
        <w:rPr>
          <w:rFonts w:ascii="Arial" w:hAnsi="Arial" w:cs="Arial"/>
          <w:sz w:val="20"/>
          <w:szCs w:val="20"/>
        </w:rPr>
        <w:t>)</w:t>
      </w:r>
    </w:p>
    <w:p w:rsidR="001A38F7" w:rsidRDefault="00B5180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 </w:t>
      </w:r>
      <w:r w:rsidR="001A38F7" w:rsidRPr="001A38F7">
        <w:rPr>
          <w:rFonts w:ascii="Arial" w:hAnsi="Arial" w:cs="Arial"/>
          <w:sz w:val="20"/>
          <w:szCs w:val="20"/>
        </w:rPr>
        <w:t xml:space="preserve">KDC project, worker housing in </w:t>
      </w:r>
      <w:proofErr w:type="spellStart"/>
      <w:r w:rsidR="001A38F7" w:rsidRPr="001A38F7">
        <w:rPr>
          <w:rFonts w:ascii="Arial" w:hAnsi="Arial" w:cs="Arial"/>
          <w:sz w:val="20"/>
          <w:szCs w:val="20"/>
        </w:rPr>
        <w:t>Huu</w:t>
      </w:r>
      <w:proofErr w:type="spellEnd"/>
      <w:r w:rsidR="001A38F7" w:rsidRPr="001A3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38F7" w:rsidRPr="001A38F7">
        <w:rPr>
          <w:rFonts w:ascii="Arial" w:hAnsi="Arial" w:cs="Arial"/>
          <w:sz w:val="20"/>
          <w:szCs w:val="20"/>
        </w:rPr>
        <w:t>Thanh</w:t>
      </w:r>
      <w:proofErr w:type="spellEnd"/>
      <w:r w:rsidR="001A38F7" w:rsidRPr="001A38F7">
        <w:rPr>
          <w:rFonts w:ascii="Arial" w:hAnsi="Arial" w:cs="Arial"/>
          <w:sz w:val="20"/>
          <w:szCs w:val="20"/>
        </w:rPr>
        <w:t xml:space="preserve"> commune, </w:t>
      </w:r>
      <w:proofErr w:type="spellStart"/>
      <w:r w:rsidR="001A38F7" w:rsidRPr="001A38F7">
        <w:rPr>
          <w:rFonts w:ascii="Arial" w:hAnsi="Arial" w:cs="Arial"/>
          <w:sz w:val="20"/>
          <w:szCs w:val="20"/>
        </w:rPr>
        <w:t>Duc</w:t>
      </w:r>
      <w:proofErr w:type="spellEnd"/>
      <w:r w:rsidR="001A38F7" w:rsidRPr="001A3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38F7" w:rsidRPr="001A38F7">
        <w:rPr>
          <w:rFonts w:ascii="Arial" w:hAnsi="Arial" w:cs="Arial"/>
          <w:sz w:val="20"/>
          <w:szCs w:val="20"/>
        </w:rPr>
        <w:t>Hoa</w:t>
      </w:r>
      <w:proofErr w:type="spellEnd"/>
      <w:r w:rsidR="001A38F7" w:rsidRPr="001A38F7">
        <w:rPr>
          <w:rFonts w:ascii="Arial" w:hAnsi="Arial" w:cs="Arial"/>
          <w:sz w:val="20"/>
          <w:szCs w:val="20"/>
        </w:rPr>
        <w:t xml:space="preserve"> distri</w:t>
      </w:r>
      <w:r w:rsidR="002958C3">
        <w:rPr>
          <w:rFonts w:ascii="Arial" w:hAnsi="Arial" w:cs="Arial"/>
          <w:sz w:val="20"/>
          <w:szCs w:val="20"/>
        </w:rPr>
        <w:t>ct</w:t>
      </w:r>
    </w:p>
    <w:p w:rsidR="002958C3" w:rsidRDefault="002958C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 Project for </w:t>
      </w:r>
      <w:proofErr w:type="spellStart"/>
      <w:r>
        <w:rPr>
          <w:rFonts w:ascii="Arial" w:hAnsi="Arial" w:cs="Arial"/>
          <w:sz w:val="20"/>
          <w:szCs w:val="20"/>
        </w:rPr>
        <w:t>Duc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tuynel</w:t>
      </w:r>
      <w:proofErr w:type="spellEnd"/>
      <w:r>
        <w:rPr>
          <w:rFonts w:ascii="Arial" w:hAnsi="Arial" w:cs="Arial"/>
          <w:sz w:val="20"/>
          <w:szCs w:val="20"/>
        </w:rPr>
        <w:t xml:space="preserve"> brick plant</w:t>
      </w:r>
    </w:p>
    <w:p w:rsidR="00CA13B2" w:rsidRDefault="00CA13B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Approve documents and time of holding the annual General Meeting of Shareholders in 2020</w:t>
      </w:r>
    </w:p>
    <w:p w:rsidR="00CA13B2" w:rsidRDefault="00CA13B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Approve the documents of the annual General Meeting of Shareholders in 2020 as follows:</w:t>
      </w:r>
    </w:p>
    <w:p w:rsidR="00CA13B2" w:rsidRDefault="00CA13B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13B2">
        <w:rPr>
          <w:rFonts w:ascii="Arial" w:hAnsi="Arial" w:cs="Arial"/>
          <w:sz w:val="20"/>
          <w:szCs w:val="20"/>
        </w:rPr>
        <w:t>Approve the report on business and production results in 2019, production and business plans for 2020;  Approve the audited financial statement of 2019; Report on the operation results of the Board of Directors in 2019;  Approve the report of the Supervisory Board on the operation situation of the Company in 2019;  Approve proposals: profit distribution and dividend payment for 2019 and plan for 2020; Remuneration for the Board of Directors, the Supervisory Board, the Secretary in 2019 and the Plan for 2020; Select an auditing compa</w:t>
      </w:r>
      <w:r w:rsidR="00291B59">
        <w:rPr>
          <w:rFonts w:ascii="Arial" w:hAnsi="Arial" w:cs="Arial"/>
          <w:sz w:val="20"/>
          <w:szCs w:val="20"/>
        </w:rPr>
        <w:t>ny for the fiscal year of 2020</w:t>
      </w:r>
    </w:p>
    <w:p w:rsidR="00291B59" w:rsidRDefault="00291B5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Meeting time: 9:00 on 22 Jun 2020</w:t>
      </w:r>
    </w:p>
    <w:p w:rsidR="00291B59" w:rsidRDefault="00291B5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Meeting v</w:t>
      </w:r>
      <w:r w:rsidRPr="00291B59">
        <w:rPr>
          <w:rFonts w:ascii="Arial" w:hAnsi="Arial" w:cs="Arial"/>
          <w:sz w:val="20"/>
          <w:szCs w:val="20"/>
        </w:rPr>
        <w:t xml:space="preserve">enue: 4th Floor Hall - IDICO - LINCO Company Headquarter, No. 88, National Highway 1 (bypass), Ward 6, Tan </w:t>
      </w:r>
      <w:proofErr w:type="gramStart"/>
      <w:r w:rsidRPr="00291B59">
        <w:rPr>
          <w:rFonts w:ascii="Arial" w:hAnsi="Arial" w:cs="Arial"/>
          <w:sz w:val="20"/>
          <w:szCs w:val="20"/>
        </w:rPr>
        <w:t>An</w:t>
      </w:r>
      <w:proofErr w:type="gramEnd"/>
      <w:r w:rsidRPr="00291B59">
        <w:rPr>
          <w:rFonts w:ascii="Arial" w:hAnsi="Arial" w:cs="Arial"/>
          <w:sz w:val="20"/>
          <w:szCs w:val="20"/>
        </w:rPr>
        <w:t xml:space="preserve"> City, Long An Province</w:t>
      </w:r>
    </w:p>
    <w:p w:rsidR="00291B59" w:rsidRDefault="00291B5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The Board of Directors approved the liquidation of fixed assets based on Statement No.29/ </w:t>
      </w:r>
      <w:proofErr w:type="spellStart"/>
      <w:r>
        <w:rPr>
          <w:rFonts w:ascii="Arial" w:hAnsi="Arial" w:cs="Arial"/>
          <w:sz w:val="20"/>
          <w:szCs w:val="20"/>
        </w:rPr>
        <w:t>TTr</w:t>
      </w:r>
      <w:proofErr w:type="spellEnd"/>
      <w:r>
        <w:rPr>
          <w:rFonts w:ascii="Arial" w:hAnsi="Arial" w:cs="Arial"/>
          <w:sz w:val="20"/>
          <w:szCs w:val="20"/>
        </w:rPr>
        <w:t>-CT dated 03 Jun 2020 of Director of the Company; assign the Director of the Company to carry out</w:t>
      </w:r>
    </w:p>
    <w:p w:rsidR="000B6207" w:rsidRDefault="000B620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207">
        <w:rPr>
          <w:rFonts w:ascii="Arial" w:hAnsi="Arial" w:cs="Arial"/>
          <w:sz w:val="20"/>
          <w:szCs w:val="20"/>
        </w:rPr>
        <w:t>Article 2: The Board of Directors assign</w:t>
      </w:r>
      <w:r>
        <w:rPr>
          <w:rFonts w:ascii="Arial" w:hAnsi="Arial" w:cs="Arial"/>
          <w:sz w:val="20"/>
          <w:szCs w:val="20"/>
        </w:rPr>
        <w:t>ed</w:t>
      </w:r>
      <w:r w:rsidRPr="000B6207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Management Board</w:t>
      </w:r>
      <w:r w:rsidRPr="000B6207">
        <w:rPr>
          <w:rFonts w:ascii="Arial" w:hAnsi="Arial" w:cs="Arial"/>
          <w:sz w:val="20"/>
          <w:szCs w:val="20"/>
        </w:rPr>
        <w:t xml:space="preserve"> to carry out the </w:t>
      </w:r>
      <w:r>
        <w:rPr>
          <w:rFonts w:ascii="Arial" w:hAnsi="Arial" w:cs="Arial"/>
          <w:sz w:val="20"/>
          <w:szCs w:val="20"/>
        </w:rPr>
        <w:t>tasks</w:t>
      </w:r>
      <w:r w:rsidRPr="000B6207">
        <w:rPr>
          <w:rFonts w:ascii="Arial" w:hAnsi="Arial" w:cs="Arial"/>
          <w:sz w:val="20"/>
          <w:szCs w:val="20"/>
        </w:rPr>
        <w:t xml:space="preserve"> </w:t>
      </w:r>
      <w:r w:rsidR="003B6953">
        <w:rPr>
          <w:rFonts w:ascii="Arial" w:hAnsi="Arial" w:cs="Arial"/>
          <w:sz w:val="20"/>
          <w:szCs w:val="20"/>
        </w:rPr>
        <w:t>based on</w:t>
      </w:r>
      <w:r w:rsidRPr="000B6207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content of this Resolution</w:t>
      </w:r>
    </w:p>
    <w:p w:rsidR="00291B59" w:rsidRDefault="000B620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6207">
        <w:rPr>
          <w:rFonts w:ascii="Arial" w:hAnsi="Arial" w:cs="Arial"/>
          <w:sz w:val="20"/>
          <w:szCs w:val="20"/>
        </w:rPr>
        <w:lastRenderedPageBreak/>
        <w:t>Article 3: The members of the Board</w:t>
      </w:r>
      <w:r w:rsidR="003B6953">
        <w:rPr>
          <w:rFonts w:ascii="Arial" w:hAnsi="Arial" w:cs="Arial"/>
          <w:sz w:val="20"/>
          <w:szCs w:val="20"/>
        </w:rPr>
        <w:t xml:space="preserve"> of Directors, the Director and H</w:t>
      </w:r>
      <w:r w:rsidRPr="000B6207">
        <w:rPr>
          <w:rFonts w:ascii="Arial" w:hAnsi="Arial" w:cs="Arial"/>
          <w:sz w:val="20"/>
          <w:szCs w:val="20"/>
        </w:rPr>
        <w:t>eads of the related professional departments of the Company are responsible for the implementation of this Resolution and report</w:t>
      </w:r>
      <w:r w:rsidR="003B6953">
        <w:rPr>
          <w:rFonts w:ascii="Arial" w:hAnsi="Arial" w:cs="Arial"/>
          <w:sz w:val="20"/>
          <w:szCs w:val="20"/>
        </w:rPr>
        <w:t>ing</w:t>
      </w:r>
      <w:r w:rsidRPr="000B6207">
        <w:rPr>
          <w:rFonts w:ascii="Arial" w:hAnsi="Arial" w:cs="Arial"/>
          <w:sz w:val="20"/>
          <w:szCs w:val="20"/>
        </w:rPr>
        <w:t xml:space="preserve"> the implementatio</w:t>
      </w:r>
      <w:r w:rsidR="003B6953">
        <w:rPr>
          <w:rFonts w:ascii="Arial" w:hAnsi="Arial" w:cs="Arial"/>
          <w:sz w:val="20"/>
          <w:szCs w:val="20"/>
        </w:rPr>
        <w:t>n results at the next meeting</w:t>
      </w:r>
      <w:bookmarkStart w:id="0" w:name="_GoBack"/>
      <w:bookmarkEnd w:id="0"/>
    </w:p>
    <w:sectPr w:rsidR="00291B59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3530"/>
    <w:rsid w:val="00022849"/>
    <w:rsid w:val="000230C2"/>
    <w:rsid w:val="00025C89"/>
    <w:rsid w:val="000266C2"/>
    <w:rsid w:val="00032F32"/>
    <w:rsid w:val="000365C1"/>
    <w:rsid w:val="00041D21"/>
    <w:rsid w:val="00050E3D"/>
    <w:rsid w:val="000603A9"/>
    <w:rsid w:val="00066EE1"/>
    <w:rsid w:val="000709F6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6207"/>
    <w:rsid w:val="000B6969"/>
    <w:rsid w:val="000C2983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23CB6"/>
    <w:rsid w:val="00132EC5"/>
    <w:rsid w:val="00132FA0"/>
    <w:rsid w:val="00135A2F"/>
    <w:rsid w:val="001364E1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964C9"/>
    <w:rsid w:val="001A38F7"/>
    <w:rsid w:val="001A66CA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3F24"/>
    <w:rsid w:val="002357C4"/>
    <w:rsid w:val="002403FE"/>
    <w:rsid w:val="0025148F"/>
    <w:rsid w:val="00252CE0"/>
    <w:rsid w:val="00254EA2"/>
    <w:rsid w:val="0026535B"/>
    <w:rsid w:val="002701FB"/>
    <w:rsid w:val="0028284F"/>
    <w:rsid w:val="0029161A"/>
    <w:rsid w:val="00291B59"/>
    <w:rsid w:val="002958C3"/>
    <w:rsid w:val="00296178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D61ED"/>
    <w:rsid w:val="002E10C4"/>
    <w:rsid w:val="002E43D7"/>
    <w:rsid w:val="002E76E5"/>
    <w:rsid w:val="002E7FD0"/>
    <w:rsid w:val="002F61EF"/>
    <w:rsid w:val="002F68A9"/>
    <w:rsid w:val="00303167"/>
    <w:rsid w:val="00304722"/>
    <w:rsid w:val="0030503E"/>
    <w:rsid w:val="0031274D"/>
    <w:rsid w:val="00316F05"/>
    <w:rsid w:val="00320096"/>
    <w:rsid w:val="00320E98"/>
    <w:rsid w:val="0032185B"/>
    <w:rsid w:val="00323657"/>
    <w:rsid w:val="00327CF7"/>
    <w:rsid w:val="0033774A"/>
    <w:rsid w:val="00341204"/>
    <w:rsid w:val="00353428"/>
    <w:rsid w:val="00354158"/>
    <w:rsid w:val="00355050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6953"/>
    <w:rsid w:val="003B73F7"/>
    <w:rsid w:val="003B7790"/>
    <w:rsid w:val="003C1805"/>
    <w:rsid w:val="003C218B"/>
    <w:rsid w:val="003C43F2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86748"/>
    <w:rsid w:val="00490B2B"/>
    <w:rsid w:val="00494DFC"/>
    <w:rsid w:val="00496733"/>
    <w:rsid w:val="004A5289"/>
    <w:rsid w:val="004A554D"/>
    <w:rsid w:val="004B2BA6"/>
    <w:rsid w:val="004B4798"/>
    <w:rsid w:val="004C144F"/>
    <w:rsid w:val="004E4C16"/>
    <w:rsid w:val="004E4C9D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863B3"/>
    <w:rsid w:val="005906FC"/>
    <w:rsid w:val="00590F17"/>
    <w:rsid w:val="005961E3"/>
    <w:rsid w:val="005970B6"/>
    <w:rsid w:val="005A0BA8"/>
    <w:rsid w:val="005B1FDE"/>
    <w:rsid w:val="005B40E5"/>
    <w:rsid w:val="005C1B26"/>
    <w:rsid w:val="005C57E0"/>
    <w:rsid w:val="005C71E6"/>
    <w:rsid w:val="005D05F1"/>
    <w:rsid w:val="005D7F9C"/>
    <w:rsid w:val="005E7B32"/>
    <w:rsid w:val="005F60C8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C6376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856F0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46AC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F1C6C"/>
    <w:rsid w:val="00904A89"/>
    <w:rsid w:val="00907817"/>
    <w:rsid w:val="00911890"/>
    <w:rsid w:val="00912FBD"/>
    <w:rsid w:val="009232CB"/>
    <w:rsid w:val="00923467"/>
    <w:rsid w:val="009235C2"/>
    <w:rsid w:val="00926469"/>
    <w:rsid w:val="00934FC0"/>
    <w:rsid w:val="00937D79"/>
    <w:rsid w:val="009410B8"/>
    <w:rsid w:val="009464B8"/>
    <w:rsid w:val="00962777"/>
    <w:rsid w:val="00964DEC"/>
    <w:rsid w:val="00970B6C"/>
    <w:rsid w:val="00974D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E1744"/>
    <w:rsid w:val="009E4AC5"/>
    <w:rsid w:val="009F2709"/>
    <w:rsid w:val="009F4DC4"/>
    <w:rsid w:val="009F699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54EB"/>
    <w:rsid w:val="00A83171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B663D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1807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77570"/>
    <w:rsid w:val="00B823A0"/>
    <w:rsid w:val="00BA03BB"/>
    <w:rsid w:val="00BA1F12"/>
    <w:rsid w:val="00BA2434"/>
    <w:rsid w:val="00BA2DBC"/>
    <w:rsid w:val="00BA3FB7"/>
    <w:rsid w:val="00BA41E5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7CB9"/>
    <w:rsid w:val="00C61E40"/>
    <w:rsid w:val="00C61EAF"/>
    <w:rsid w:val="00C85D78"/>
    <w:rsid w:val="00C92C3E"/>
    <w:rsid w:val="00C940B5"/>
    <w:rsid w:val="00C97B83"/>
    <w:rsid w:val="00CA13B2"/>
    <w:rsid w:val="00CA1BB3"/>
    <w:rsid w:val="00CB5C91"/>
    <w:rsid w:val="00CC13C8"/>
    <w:rsid w:val="00CC39D3"/>
    <w:rsid w:val="00CD1C0C"/>
    <w:rsid w:val="00CD22F3"/>
    <w:rsid w:val="00CD696B"/>
    <w:rsid w:val="00CE3EC6"/>
    <w:rsid w:val="00CE40C1"/>
    <w:rsid w:val="00CE4B21"/>
    <w:rsid w:val="00CF1764"/>
    <w:rsid w:val="00CF7CE6"/>
    <w:rsid w:val="00D02E12"/>
    <w:rsid w:val="00D07AEF"/>
    <w:rsid w:val="00D10888"/>
    <w:rsid w:val="00D306EC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2EFF"/>
    <w:rsid w:val="00D9503E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87303"/>
    <w:rsid w:val="00E96289"/>
    <w:rsid w:val="00E96D65"/>
    <w:rsid w:val="00EA2CDA"/>
    <w:rsid w:val="00EA4C28"/>
    <w:rsid w:val="00EA5F3A"/>
    <w:rsid w:val="00EA611A"/>
    <w:rsid w:val="00EA6EE7"/>
    <w:rsid w:val="00EC37DE"/>
    <w:rsid w:val="00ED3B40"/>
    <w:rsid w:val="00ED6D41"/>
    <w:rsid w:val="00ED7216"/>
    <w:rsid w:val="00EF091F"/>
    <w:rsid w:val="00EF47D6"/>
    <w:rsid w:val="00F00D19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327</cp:revision>
  <dcterms:created xsi:type="dcterms:W3CDTF">2019-10-16T10:03:00Z</dcterms:created>
  <dcterms:modified xsi:type="dcterms:W3CDTF">2020-06-10T02:38:00Z</dcterms:modified>
</cp:coreProperties>
</file>